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3C39F" w14:textId="77777777" w:rsidR="00A55A95" w:rsidRDefault="00A55A95" w:rsidP="00A55A95">
      <w:pPr>
        <w:spacing w:after="0" w:line="480" w:lineRule="auto"/>
        <w:rPr>
          <w:rFonts w:ascii="Times New Roman" w:hAnsi="Times New Roman" w:cs="Times New Roman"/>
          <w:b/>
          <w:bCs/>
          <w:sz w:val="24"/>
          <w:szCs w:val="24"/>
        </w:rPr>
      </w:pPr>
    </w:p>
    <w:p w14:paraId="45DA541D" w14:textId="77777777" w:rsidR="00A55A95" w:rsidRDefault="00A55A95" w:rsidP="00A55A95">
      <w:pPr>
        <w:spacing w:after="0" w:line="480" w:lineRule="auto"/>
        <w:rPr>
          <w:rFonts w:ascii="Times New Roman" w:hAnsi="Times New Roman" w:cs="Times New Roman"/>
          <w:b/>
          <w:bCs/>
          <w:sz w:val="24"/>
          <w:szCs w:val="24"/>
        </w:rPr>
      </w:pPr>
    </w:p>
    <w:p w14:paraId="3463F975" w14:textId="77777777" w:rsidR="00A55A95" w:rsidRDefault="00A55A95" w:rsidP="00A55A95">
      <w:pPr>
        <w:spacing w:after="0" w:line="480" w:lineRule="auto"/>
        <w:rPr>
          <w:rFonts w:ascii="Times New Roman" w:hAnsi="Times New Roman" w:cs="Times New Roman"/>
          <w:b/>
          <w:bCs/>
          <w:sz w:val="24"/>
          <w:szCs w:val="24"/>
        </w:rPr>
      </w:pPr>
    </w:p>
    <w:p w14:paraId="30DD92D0" w14:textId="77777777" w:rsidR="00A55A95" w:rsidRDefault="00A55A95" w:rsidP="00A55A95">
      <w:pPr>
        <w:spacing w:after="0" w:line="480" w:lineRule="auto"/>
        <w:rPr>
          <w:rFonts w:ascii="Times New Roman" w:hAnsi="Times New Roman" w:cs="Times New Roman"/>
          <w:b/>
          <w:bCs/>
          <w:sz w:val="24"/>
          <w:szCs w:val="24"/>
        </w:rPr>
      </w:pPr>
    </w:p>
    <w:p w14:paraId="629CBF78" w14:textId="77777777" w:rsidR="00A55A95" w:rsidRDefault="00A55A95" w:rsidP="00A55A95">
      <w:pPr>
        <w:spacing w:after="0" w:line="480" w:lineRule="auto"/>
        <w:rPr>
          <w:rFonts w:ascii="Times New Roman" w:hAnsi="Times New Roman" w:cs="Times New Roman"/>
          <w:b/>
          <w:bCs/>
          <w:sz w:val="24"/>
          <w:szCs w:val="24"/>
        </w:rPr>
      </w:pPr>
    </w:p>
    <w:p w14:paraId="328D6EC5" w14:textId="77777777" w:rsidR="00A55A95" w:rsidRDefault="00A55A95" w:rsidP="00A55A95">
      <w:pPr>
        <w:spacing w:after="0" w:line="480" w:lineRule="auto"/>
        <w:rPr>
          <w:rFonts w:ascii="Times New Roman" w:hAnsi="Times New Roman" w:cs="Times New Roman"/>
          <w:b/>
          <w:bCs/>
          <w:sz w:val="24"/>
          <w:szCs w:val="24"/>
        </w:rPr>
      </w:pPr>
    </w:p>
    <w:p w14:paraId="6F32DB97" w14:textId="77777777" w:rsidR="00A55A95" w:rsidRDefault="00A55A95" w:rsidP="00A55A95">
      <w:pPr>
        <w:spacing w:after="0" w:line="480" w:lineRule="auto"/>
        <w:rPr>
          <w:rFonts w:ascii="Times New Roman" w:hAnsi="Times New Roman" w:cs="Times New Roman"/>
          <w:b/>
          <w:bCs/>
          <w:sz w:val="24"/>
          <w:szCs w:val="24"/>
        </w:rPr>
      </w:pPr>
    </w:p>
    <w:p w14:paraId="7FE2886F" w14:textId="77777777" w:rsidR="00A55A95" w:rsidRDefault="00A55A95" w:rsidP="00A55A95">
      <w:pPr>
        <w:spacing w:after="0" w:line="480" w:lineRule="auto"/>
        <w:rPr>
          <w:rFonts w:ascii="Times New Roman" w:hAnsi="Times New Roman" w:cs="Times New Roman"/>
          <w:b/>
          <w:bCs/>
          <w:sz w:val="24"/>
          <w:szCs w:val="24"/>
        </w:rPr>
      </w:pPr>
    </w:p>
    <w:p w14:paraId="7B46C293" w14:textId="77777777" w:rsidR="00A55A95" w:rsidRDefault="00A55A95" w:rsidP="00A55A95">
      <w:pPr>
        <w:spacing w:after="0" w:line="480" w:lineRule="auto"/>
        <w:rPr>
          <w:rFonts w:ascii="Times New Roman" w:hAnsi="Times New Roman" w:cs="Times New Roman"/>
          <w:b/>
          <w:bCs/>
          <w:sz w:val="24"/>
          <w:szCs w:val="24"/>
        </w:rPr>
      </w:pPr>
    </w:p>
    <w:p w14:paraId="70877F6E" w14:textId="77777777" w:rsidR="00A55A95" w:rsidRDefault="00A55A95" w:rsidP="00A55A95">
      <w:pPr>
        <w:spacing w:after="0" w:line="480" w:lineRule="auto"/>
        <w:rPr>
          <w:rFonts w:ascii="Times New Roman" w:hAnsi="Times New Roman" w:cs="Times New Roman"/>
          <w:b/>
          <w:bCs/>
          <w:sz w:val="24"/>
          <w:szCs w:val="24"/>
        </w:rPr>
      </w:pPr>
    </w:p>
    <w:p w14:paraId="591ED1ED" w14:textId="77777777" w:rsidR="00A55A95" w:rsidRPr="00A55A95" w:rsidRDefault="00A55A95" w:rsidP="00A55A95">
      <w:pPr>
        <w:spacing w:after="0" w:line="480" w:lineRule="auto"/>
        <w:jc w:val="center"/>
        <w:rPr>
          <w:rFonts w:ascii="Times New Roman" w:hAnsi="Times New Roman" w:cs="Times New Roman"/>
          <w:b/>
          <w:bCs/>
          <w:sz w:val="24"/>
          <w:szCs w:val="24"/>
        </w:rPr>
      </w:pPr>
      <w:r w:rsidRPr="00A55A95">
        <w:rPr>
          <w:rFonts w:ascii="Times New Roman" w:hAnsi="Times New Roman" w:cs="Times New Roman"/>
          <w:b/>
          <w:bCs/>
          <w:sz w:val="24"/>
          <w:szCs w:val="24"/>
        </w:rPr>
        <w:t>Predicting the Future of Death Valley</w:t>
      </w:r>
    </w:p>
    <w:p w14:paraId="2D94C0BD" w14:textId="573E608C" w:rsidR="00A55A95" w:rsidRDefault="00A55A95" w:rsidP="00A55A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r>
        <w:rPr>
          <w:rFonts w:ascii="Times New Roman" w:hAnsi="Times New Roman" w:cs="Times New Roman"/>
          <w:sz w:val="24"/>
          <w:szCs w:val="24"/>
        </w:rPr>
        <w:br/>
        <w:t>Institution</w:t>
      </w:r>
    </w:p>
    <w:p w14:paraId="0DC444A4" w14:textId="0F0ACB41" w:rsidR="00A55A95" w:rsidRDefault="00A55A95" w:rsidP="00A55A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7BC73BF8" w14:textId="2C2441C6" w:rsidR="00A55A95" w:rsidRDefault="00A55A95" w:rsidP="00A55A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5851121A" w14:textId="4BF02D48" w:rsidR="00A55A95" w:rsidRDefault="00A55A95" w:rsidP="00A55A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80603BD" w14:textId="79CA48AB" w:rsidR="00A55A95" w:rsidRDefault="00A55A95" w:rsidP="00A55A95">
      <w:pPr>
        <w:spacing w:after="0" w:line="480" w:lineRule="auto"/>
        <w:rPr>
          <w:rFonts w:ascii="Times New Roman" w:hAnsi="Times New Roman" w:cs="Times New Roman"/>
          <w:sz w:val="24"/>
          <w:szCs w:val="24"/>
        </w:rPr>
      </w:pPr>
    </w:p>
    <w:p w14:paraId="6052AE3F" w14:textId="05FC1583" w:rsidR="00A55A95" w:rsidRDefault="00A55A95" w:rsidP="00A55A95">
      <w:pPr>
        <w:spacing w:after="0" w:line="480" w:lineRule="auto"/>
        <w:rPr>
          <w:rFonts w:ascii="Times New Roman" w:hAnsi="Times New Roman" w:cs="Times New Roman"/>
          <w:sz w:val="24"/>
          <w:szCs w:val="24"/>
        </w:rPr>
      </w:pPr>
    </w:p>
    <w:p w14:paraId="32D1E821" w14:textId="39C313E7" w:rsidR="00A55A95" w:rsidRDefault="00A55A95" w:rsidP="00A55A95">
      <w:pPr>
        <w:spacing w:after="0" w:line="480" w:lineRule="auto"/>
        <w:rPr>
          <w:rFonts w:ascii="Times New Roman" w:hAnsi="Times New Roman" w:cs="Times New Roman"/>
          <w:sz w:val="24"/>
          <w:szCs w:val="24"/>
        </w:rPr>
      </w:pPr>
    </w:p>
    <w:p w14:paraId="0BDF5D90" w14:textId="13150C38" w:rsidR="00A55A95" w:rsidRDefault="00A55A95" w:rsidP="00A55A95">
      <w:pPr>
        <w:spacing w:after="0" w:line="480" w:lineRule="auto"/>
        <w:rPr>
          <w:rFonts w:ascii="Times New Roman" w:hAnsi="Times New Roman" w:cs="Times New Roman"/>
          <w:sz w:val="24"/>
          <w:szCs w:val="24"/>
        </w:rPr>
      </w:pPr>
    </w:p>
    <w:p w14:paraId="29828EF2" w14:textId="77777777" w:rsidR="00A55A95" w:rsidRDefault="00A55A95" w:rsidP="00A55A95">
      <w:pPr>
        <w:spacing w:after="0" w:line="480" w:lineRule="auto"/>
        <w:rPr>
          <w:rFonts w:ascii="Times New Roman" w:hAnsi="Times New Roman" w:cs="Times New Roman"/>
          <w:sz w:val="24"/>
          <w:szCs w:val="24"/>
        </w:rPr>
      </w:pPr>
    </w:p>
    <w:p w14:paraId="41F10AF6" w14:textId="77777777" w:rsidR="00A55A95" w:rsidRPr="00A55A95" w:rsidRDefault="00A55A95" w:rsidP="00A55A95">
      <w:pPr>
        <w:spacing w:after="0" w:line="480" w:lineRule="auto"/>
        <w:rPr>
          <w:rFonts w:ascii="Times New Roman" w:hAnsi="Times New Roman" w:cs="Times New Roman"/>
          <w:sz w:val="24"/>
          <w:szCs w:val="24"/>
        </w:rPr>
      </w:pPr>
    </w:p>
    <w:p w14:paraId="2E06E228" w14:textId="77777777" w:rsidR="00A55A95" w:rsidRDefault="00A55A95" w:rsidP="00A55A95">
      <w:pPr>
        <w:spacing w:after="0" w:line="480" w:lineRule="auto"/>
        <w:rPr>
          <w:rFonts w:ascii="Times New Roman" w:hAnsi="Times New Roman" w:cs="Times New Roman"/>
          <w:b/>
          <w:bCs/>
          <w:sz w:val="24"/>
          <w:szCs w:val="24"/>
        </w:rPr>
      </w:pPr>
    </w:p>
    <w:p w14:paraId="7CEEB7C0" w14:textId="1393F411" w:rsidR="004673C1" w:rsidRPr="00A55A95" w:rsidRDefault="004673C1" w:rsidP="00A55A95">
      <w:pPr>
        <w:spacing w:after="0" w:line="480" w:lineRule="auto"/>
        <w:jc w:val="center"/>
        <w:rPr>
          <w:rFonts w:ascii="Times New Roman" w:hAnsi="Times New Roman" w:cs="Times New Roman"/>
          <w:b/>
          <w:bCs/>
          <w:sz w:val="24"/>
          <w:szCs w:val="24"/>
        </w:rPr>
      </w:pPr>
      <w:r w:rsidRPr="00A55A95">
        <w:rPr>
          <w:rFonts w:ascii="Times New Roman" w:hAnsi="Times New Roman" w:cs="Times New Roman"/>
          <w:b/>
          <w:bCs/>
          <w:sz w:val="24"/>
          <w:szCs w:val="24"/>
        </w:rPr>
        <w:lastRenderedPageBreak/>
        <w:t>Predicting the Future of Death Valley</w:t>
      </w:r>
    </w:p>
    <w:p w14:paraId="6D0C41D9" w14:textId="77777777" w:rsidR="004673C1" w:rsidRPr="00A55A95" w:rsidRDefault="004673C1" w:rsidP="00A55A95">
      <w:pPr>
        <w:spacing w:after="0" w:line="480" w:lineRule="auto"/>
        <w:ind w:firstLine="720"/>
        <w:rPr>
          <w:rFonts w:ascii="Times New Roman" w:hAnsi="Times New Roman" w:cs="Times New Roman"/>
          <w:sz w:val="24"/>
          <w:szCs w:val="24"/>
        </w:rPr>
      </w:pPr>
      <w:r w:rsidRPr="00A55A95">
        <w:rPr>
          <w:rFonts w:ascii="Times New Roman" w:hAnsi="Times New Roman" w:cs="Times New Roman"/>
          <w:sz w:val="24"/>
          <w:szCs w:val="24"/>
        </w:rPr>
        <w:t xml:space="preserve">With the environmental changes in the different parts of the continent, some concerns have emerged as to whether the regions that lie within the tectonic plates would be exposed to the risk of sinking due to the movement of the continents’ tectonic plates. While these concerns are worth considering, but research studies and reports on the geological activities within the Death Valley region show that the anticipated impacts are inconsequential because the plates are moving very slowly. It is obvious that the Death Valley region is bound by normal faults on the East and West sides as well as connected with the strike-slip faults on the Northern and Southern ends. However, even if the movements on the faults continue at the current displacement rates and directions, the region is not yet exposed to disaster in the next millennia. Normal faults, as Stewart (1983) explains, are caused by tensional stress on the East </w:t>
      </w:r>
      <w:proofErr w:type="spellStart"/>
      <w:r w:rsidRPr="00A55A95">
        <w:rPr>
          <w:rFonts w:ascii="Times New Roman" w:hAnsi="Times New Roman" w:cs="Times New Roman"/>
          <w:sz w:val="24"/>
          <w:szCs w:val="24"/>
        </w:rPr>
        <w:t>ad</w:t>
      </w:r>
      <w:proofErr w:type="spellEnd"/>
      <w:r w:rsidRPr="00A55A95">
        <w:rPr>
          <w:rFonts w:ascii="Times New Roman" w:hAnsi="Times New Roman" w:cs="Times New Roman"/>
          <w:sz w:val="24"/>
          <w:szCs w:val="24"/>
        </w:rPr>
        <w:t xml:space="preserve"> West sides of the valley. This stress creates tilted fault blocks, which explains why the mountains on the east side are steeper than those on the west side of the Death Valley region.</w:t>
      </w:r>
    </w:p>
    <w:p w14:paraId="0A4720D7" w14:textId="77777777" w:rsidR="004673C1" w:rsidRPr="00A55A95" w:rsidRDefault="004673C1" w:rsidP="00A55A95">
      <w:pPr>
        <w:spacing w:after="0" w:line="480" w:lineRule="auto"/>
        <w:ind w:firstLine="720"/>
        <w:rPr>
          <w:rFonts w:ascii="Times New Roman" w:hAnsi="Times New Roman" w:cs="Times New Roman"/>
          <w:sz w:val="24"/>
          <w:szCs w:val="24"/>
        </w:rPr>
      </w:pPr>
      <w:r w:rsidRPr="00A55A95">
        <w:rPr>
          <w:rFonts w:ascii="Times New Roman" w:hAnsi="Times New Roman" w:cs="Times New Roman"/>
          <w:sz w:val="24"/>
          <w:szCs w:val="24"/>
        </w:rPr>
        <w:t>Research on the historical background on the geological activities in the Death Valley region has shown that the activities take time because they are happening slowly. The first geological event in the region happened about 1800 millenniums ago. The event that has been describing as the Precambrian involved the regional metamorphism characterized by shallow to deep water marine and glaciomarine deposition (Klinger &amp; Piety, 2000). The last activity described as Cenozoic took place about 65 millenniums ago. This event was characterized by erosion of the highlands to low-lying plains in the Death Valley regions. Even though the faulting process has continued over the last millenniums, a prediction into the next 5 to 10 million years shows that there would be no significant change.</w:t>
      </w:r>
    </w:p>
    <w:p w14:paraId="65C38715" w14:textId="77777777" w:rsidR="004673C1" w:rsidRPr="00A55A95" w:rsidRDefault="004673C1" w:rsidP="00A55A95">
      <w:pPr>
        <w:spacing w:after="0" w:line="480" w:lineRule="auto"/>
        <w:ind w:firstLine="720"/>
        <w:rPr>
          <w:rFonts w:ascii="Times New Roman" w:hAnsi="Times New Roman" w:cs="Times New Roman"/>
          <w:sz w:val="24"/>
          <w:szCs w:val="24"/>
        </w:rPr>
      </w:pPr>
      <w:r w:rsidRPr="00A55A95">
        <w:rPr>
          <w:rFonts w:ascii="Times New Roman" w:hAnsi="Times New Roman" w:cs="Times New Roman"/>
          <w:sz w:val="24"/>
          <w:szCs w:val="24"/>
        </w:rPr>
        <w:lastRenderedPageBreak/>
        <w:t>The changes witnessed in the last 16 millenniums have been influenced by the opening of the modern Death Valley, rain shadow associated with the Sierran uplift, glaciations in the Siera, and higher altitudes that resulted in lake formation. Also, the continued volcanic activity in the region has also influenced the changes that have been witnessed. However, these changes are of insignificant consequences, especially in the next 5 to 10 millenniums given the rate of changes experienced in the past years. However, with the rate at which the environment is changing today, the eventuality will happen and the anticipated danger experienced earlier than anticipated. As Meldahl (2015) explains, the changes in the oceanfront can take place abruptly without no one noticing. Like many authors, Meldahl asserts that in more than 15 million years, nothing significant has been witnessed in the region due to slowly creep in the tectonic plates in the Death Valley region. However, unlike other authors, Meldahl believes that the movements of these faults may be slow, but the regions that lie within the tectonic areas will continue to be exposed to grave danger. Regions such as Los Angeles and San Francisco are experiencing slow creep of the tectonic plates are exposed to the danger because the processes that shape the planet operate over a great range of time scales, which begins in seconds and can take millions of years to be experienced (Meldahl, 2015).</w:t>
      </w:r>
    </w:p>
    <w:p w14:paraId="0834F81B" w14:textId="77777777" w:rsidR="00A55A95" w:rsidRDefault="004673C1" w:rsidP="00A55A95">
      <w:pPr>
        <w:spacing w:after="0" w:line="480" w:lineRule="auto"/>
        <w:ind w:firstLine="720"/>
        <w:rPr>
          <w:rFonts w:ascii="Times New Roman" w:hAnsi="Times New Roman" w:cs="Times New Roman"/>
          <w:sz w:val="24"/>
          <w:szCs w:val="24"/>
        </w:rPr>
      </w:pPr>
      <w:r w:rsidRPr="00A55A95">
        <w:rPr>
          <w:rFonts w:ascii="Times New Roman" w:hAnsi="Times New Roman" w:cs="Times New Roman"/>
          <w:sz w:val="24"/>
          <w:szCs w:val="24"/>
        </w:rPr>
        <w:t xml:space="preserve">While it may be impossible to predict with certainty that California will not be exposed to danger in the next ten million years, it is easy to follow evidence presented in the reports and studies about the movements of the tectonic plates over the last millenniums. Since the last activity was experienced 65 million years ago, it is proper to claim that Californians are safe for now or in the next 20 million years due to the slow movement of the southern and northern plates. People have feared that California may end up falling into the ocean, but this is not true, at least the threat is not real yet. California is planted on the location where there are two tectonic </w:t>
      </w:r>
      <w:r w:rsidRPr="00A55A95">
        <w:rPr>
          <w:rFonts w:ascii="Times New Roman" w:hAnsi="Times New Roman" w:cs="Times New Roman"/>
          <w:sz w:val="24"/>
          <w:szCs w:val="24"/>
        </w:rPr>
        <w:lastRenderedPageBreak/>
        <w:t>plate movements. The San Andreas fault system crosses California from the Salton Sea towards the south and Cape Mendocino on the North. California lies within the boundary between the Pacific Plate on the South and the North American plate on the north. These plates are constantly moving, but at a slow speed past one another. It is estimated that the movement of these plates is approximately 46 millimeters per year, the rate at which our fingernails grow (Flemming et al., 2021). However, those concerned cannot be refuted because there are signs of danger already experienced in some regions including the San Andreas. The strike-slip earthquakes already experienced on the San Andreas fault area are consequences of the motion of the Pacific Plate that is moving northwest. Some other body of evidence has shown that the movement of the Death Valley-Furnace Creek fault system in the last millennium has extended by more than 200km through the Death Valley along the California-Nevada border (Klinger &amp; Piety, 2000). This could be an indication that some parts of California like Los Angeles could end up adjacent to Nevada. Pieces of evidence collected over the last millennium is indicating that the tectonics have become more active and faults are actively moving as the mountains move up, which is an indication that the plates are moving faster than anticipated. Another evidence is the movement of Baja California away from mainland Mexico over ten million years ago. The Gulf of California, which lies between Baja California and mainland Mexico, was formed through a rifting process that moved faster than other ocean basins in the last ten millenniums. This gulf makes the best example of the potential rupture in the continental blocks (Umhoefer, 2011). It is only the time period that has remained an issue of discussion. Whether it is possible that a significant change like Los Angeles moving to Nevada in the next ten million years is an impossible argument because, as Umhoefer (2011) explains, the rifts in the interior of continents last for about 30 million years or even 80 million years.</w:t>
      </w:r>
    </w:p>
    <w:p w14:paraId="6A33EB8F" w14:textId="731EE6B7" w:rsidR="004673C1" w:rsidRPr="00A55A95" w:rsidRDefault="004673C1" w:rsidP="00A55A95">
      <w:pPr>
        <w:spacing w:after="0" w:line="480" w:lineRule="auto"/>
        <w:jc w:val="center"/>
        <w:rPr>
          <w:rFonts w:ascii="Times New Roman" w:hAnsi="Times New Roman" w:cs="Times New Roman"/>
          <w:sz w:val="24"/>
          <w:szCs w:val="24"/>
        </w:rPr>
      </w:pPr>
      <w:r w:rsidRPr="00A55A95">
        <w:rPr>
          <w:rFonts w:ascii="Times New Roman" w:hAnsi="Times New Roman" w:cs="Times New Roman"/>
          <w:sz w:val="24"/>
          <w:szCs w:val="24"/>
        </w:rPr>
        <w:lastRenderedPageBreak/>
        <w:t>References</w:t>
      </w:r>
    </w:p>
    <w:p w14:paraId="6A8B2210" w14:textId="77777777" w:rsidR="004673C1" w:rsidRPr="00A55A95" w:rsidRDefault="004673C1" w:rsidP="00A55A95">
      <w:pPr>
        <w:spacing w:after="0" w:line="480" w:lineRule="auto"/>
        <w:ind w:left="720" w:hanging="720"/>
        <w:rPr>
          <w:rFonts w:ascii="Times New Roman" w:hAnsi="Times New Roman" w:cs="Times New Roman"/>
          <w:color w:val="222222"/>
          <w:sz w:val="24"/>
          <w:szCs w:val="24"/>
          <w:shd w:val="clear" w:color="auto" w:fill="FFFFFF"/>
        </w:rPr>
      </w:pPr>
      <w:r w:rsidRPr="00A55A95">
        <w:rPr>
          <w:rFonts w:ascii="Times New Roman" w:hAnsi="Times New Roman" w:cs="Times New Roman"/>
          <w:color w:val="222222"/>
          <w:sz w:val="24"/>
          <w:szCs w:val="24"/>
          <w:shd w:val="clear" w:color="auto" w:fill="FFFFFF"/>
        </w:rPr>
        <w:t xml:space="preserve">Fleming, Z. D., Pavlis, T. L., &amp; </w:t>
      </w:r>
      <w:proofErr w:type="spellStart"/>
      <w:r w:rsidRPr="00A55A95">
        <w:rPr>
          <w:rFonts w:ascii="Times New Roman" w:hAnsi="Times New Roman" w:cs="Times New Roman"/>
          <w:color w:val="222222"/>
          <w:sz w:val="24"/>
          <w:szCs w:val="24"/>
          <w:shd w:val="clear" w:color="auto" w:fill="FFFFFF"/>
        </w:rPr>
        <w:t>Canalda</w:t>
      </w:r>
      <w:proofErr w:type="spellEnd"/>
      <w:r w:rsidRPr="00A55A95">
        <w:rPr>
          <w:rFonts w:ascii="Times New Roman" w:hAnsi="Times New Roman" w:cs="Times New Roman"/>
          <w:color w:val="222222"/>
          <w:sz w:val="24"/>
          <w:szCs w:val="24"/>
          <w:shd w:val="clear" w:color="auto" w:fill="FFFFFF"/>
        </w:rPr>
        <w:t>, S. (2021). Superposition of two kinematically distinct extensional phases in southern Death Valley: Implications for extensional tectonics. </w:t>
      </w:r>
      <w:r w:rsidRPr="00A55A95">
        <w:rPr>
          <w:rFonts w:ascii="Times New Roman" w:hAnsi="Times New Roman" w:cs="Times New Roman"/>
          <w:i/>
          <w:iCs/>
          <w:color w:val="222222"/>
          <w:sz w:val="24"/>
          <w:szCs w:val="24"/>
          <w:shd w:val="clear" w:color="auto" w:fill="FFFFFF"/>
        </w:rPr>
        <w:t>Geosphere</w:t>
      </w:r>
      <w:r w:rsidRPr="00A55A95">
        <w:rPr>
          <w:rFonts w:ascii="Times New Roman" w:hAnsi="Times New Roman" w:cs="Times New Roman"/>
          <w:color w:val="222222"/>
          <w:sz w:val="24"/>
          <w:szCs w:val="24"/>
          <w:shd w:val="clear" w:color="auto" w:fill="FFFFFF"/>
        </w:rPr>
        <w:t>.</w:t>
      </w:r>
    </w:p>
    <w:p w14:paraId="76A6BB4B" w14:textId="77777777" w:rsidR="004673C1" w:rsidRPr="00A55A95" w:rsidRDefault="004673C1" w:rsidP="00A55A95">
      <w:pPr>
        <w:spacing w:after="0" w:line="480" w:lineRule="auto"/>
        <w:ind w:left="720" w:hanging="720"/>
        <w:rPr>
          <w:rFonts w:ascii="Times New Roman" w:hAnsi="Times New Roman" w:cs="Times New Roman"/>
          <w:color w:val="222222"/>
          <w:sz w:val="24"/>
          <w:szCs w:val="24"/>
          <w:shd w:val="clear" w:color="auto" w:fill="FFFFFF"/>
        </w:rPr>
      </w:pPr>
      <w:r w:rsidRPr="00A55A95">
        <w:rPr>
          <w:rFonts w:ascii="Times New Roman" w:hAnsi="Times New Roman" w:cs="Times New Roman"/>
          <w:color w:val="222222"/>
          <w:sz w:val="24"/>
          <w:szCs w:val="24"/>
          <w:shd w:val="clear" w:color="auto" w:fill="FFFFFF"/>
        </w:rPr>
        <w:t>Klinger, R. E., &amp; Piety, L. A. (2000). Late Quaternary tectonic activity on the Death Valley and Furnace Creek faults, Death Valley, California. </w:t>
      </w:r>
      <w:r w:rsidRPr="00A55A95">
        <w:rPr>
          <w:rFonts w:ascii="Times New Roman" w:hAnsi="Times New Roman" w:cs="Times New Roman"/>
          <w:i/>
          <w:iCs/>
          <w:color w:val="222222"/>
          <w:sz w:val="24"/>
          <w:szCs w:val="24"/>
          <w:shd w:val="clear" w:color="auto" w:fill="FFFFFF"/>
        </w:rPr>
        <w:t>Geologic and Geophysical Characterization Studies of Yucca Mountain, Nevada, A Potential High-Level Radioactive-Waste Repository</w:t>
      </w:r>
      <w:r w:rsidRPr="00A55A95">
        <w:rPr>
          <w:rFonts w:ascii="Times New Roman" w:hAnsi="Times New Roman" w:cs="Times New Roman"/>
          <w:color w:val="222222"/>
          <w:sz w:val="24"/>
          <w:szCs w:val="24"/>
          <w:shd w:val="clear" w:color="auto" w:fill="FFFFFF"/>
        </w:rPr>
        <w:t>, 1-16.</w:t>
      </w:r>
    </w:p>
    <w:p w14:paraId="756C1345" w14:textId="77777777" w:rsidR="004673C1" w:rsidRPr="00A55A95" w:rsidRDefault="004673C1" w:rsidP="00A55A95">
      <w:pPr>
        <w:spacing w:after="0" w:line="480" w:lineRule="auto"/>
        <w:ind w:left="720" w:hanging="720"/>
        <w:rPr>
          <w:rFonts w:ascii="Times New Roman" w:hAnsi="Times New Roman" w:cs="Times New Roman"/>
          <w:color w:val="222222"/>
          <w:sz w:val="24"/>
          <w:szCs w:val="24"/>
          <w:shd w:val="clear" w:color="auto" w:fill="FFFFFF"/>
        </w:rPr>
      </w:pPr>
      <w:r w:rsidRPr="00A55A95">
        <w:rPr>
          <w:rFonts w:ascii="Times New Roman" w:hAnsi="Times New Roman" w:cs="Times New Roman"/>
          <w:color w:val="222222"/>
          <w:sz w:val="24"/>
          <w:szCs w:val="24"/>
          <w:shd w:val="clear" w:color="auto" w:fill="FFFFFF"/>
        </w:rPr>
        <w:t>Meldahl, K. H. (2015). 1. Time, Faults, and Moving Plates: A Recipe for Southern California. In </w:t>
      </w:r>
      <w:r w:rsidRPr="00A55A95">
        <w:rPr>
          <w:rFonts w:ascii="Times New Roman" w:hAnsi="Times New Roman" w:cs="Times New Roman"/>
          <w:i/>
          <w:iCs/>
          <w:color w:val="222222"/>
          <w:sz w:val="24"/>
          <w:szCs w:val="24"/>
          <w:shd w:val="clear" w:color="auto" w:fill="FFFFFF"/>
        </w:rPr>
        <w:t>Surf, Sand, and Stone</w:t>
      </w:r>
      <w:r w:rsidRPr="00A55A95">
        <w:rPr>
          <w:rFonts w:ascii="Times New Roman" w:hAnsi="Times New Roman" w:cs="Times New Roman"/>
          <w:color w:val="222222"/>
          <w:sz w:val="24"/>
          <w:szCs w:val="24"/>
          <w:shd w:val="clear" w:color="auto" w:fill="FFFFFF"/>
        </w:rPr>
        <w:t> (pp. 1-24). University of California Press.</w:t>
      </w:r>
    </w:p>
    <w:p w14:paraId="4E2C34FA" w14:textId="77777777" w:rsidR="004673C1" w:rsidRPr="00A55A95" w:rsidRDefault="004673C1" w:rsidP="00A55A95">
      <w:pPr>
        <w:spacing w:after="0" w:line="480" w:lineRule="auto"/>
        <w:ind w:left="720" w:hanging="720"/>
        <w:rPr>
          <w:rFonts w:ascii="Times New Roman" w:hAnsi="Times New Roman" w:cs="Times New Roman"/>
          <w:color w:val="222222"/>
          <w:sz w:val="24"/>
          <w:szCs w:val="24"/>
          <w:shd w:val="clear" w:color="auto" w:fill="FFFFFF"/>
        </w:rPr>
      </w:pPr>
      <w:r w:rsidRPr="00A55A95">
        <w:rPr>
          <w:rFonts w:ascii="Times New Roman" w:hAnsi="Times New Roman" w:cs="Times New Roman"/>
          <w:color w:val="222222"/>
          <w:sz w:val="24"/>
          <w:szCs w:val="24"/>
          <w:shd w:val="clear" w:color="auto" w:fill="FFFFFF"/>
        </w:rPr>
        <w:t>Stewart, J. H. (1983). Extensional tectonics in the Death Valley area, California: Transport of the Panamint Range structural block 80 km northwestward. </w:t>
      </w:r>
      <w:r w:rsidRPr="00A55A95">
        <w:rPr>
          <w:rFonts w:ascii="Times New Roman" w:hAnsi="Times New Roman" w:cs="Times New Roman"/>
          <w:i/>
          <w:iCs/>
          <w:color w:val="222222"/>
          <w:sz w:val="24"/>
          <w:szCs w:val="24"/>
          <w:shd w:val="clear" w:color="auto" w:fill="FFFFFF"/>
        </w:rPr>
        <w:t>Geology</w:t>
      </w:r>
      <w:r w:rsidRPr="00A55A95">
        <w:rPr>
          <w:rFonts w:ascii="Times New Roman" w:hAnsi="Times New Roman" w:cs="Times New Roman"/>
          <w:color w:val="222222"/>
          <w:sz w:val="24"/>
          <w:szCs w:val="24"/>
          <w:shd w:val="clear" w:color="auto" w:fill="FFFFFF"/>
        </w:rPr>
        <w:t>, </w:t>
      </w:r>
      <w:r w:rsidRPr="00A55A95">
        <w:rPr>
          <w:rFonts w:ascii="Times New Roman" w:hAnsi="Times New Roman" w:cs="Times New Roman"/>
          <w:i/>
          <w:iCs/>
          <w:color w:val="222222"/>
          <w:sz w:val="24"/>
          <w:szCs w:val="24"/>
          <w:shd w:val="clear" w:color="auto" w:fill="FFFFFF"/>
        </w:rPr>
        <w:t>11</w:t>
      </w:r>
      <w:r w:rsidRPr="00A55A95">
        <w:rPr>
          <w:rFonts w:ascii="Times New Roman" w:hAnsi="Times New Roman" w:cs="Times New Roman"/>
          <w:color w:val="222222"/>
          <w:sz w:val="24"/>
          <w:szCs w:val="24"/>
          <w:shd w:val="clear" w:color="auto" w:fill="FFFFFF"/>
        </w:rPr>
        <w:t>(3), 153-157.</w:t>
      </w:r>
    </w:p>
    <w:p w14:paraId="10F93EDA" w14:textId="77777777" w:rsidR="004673C1" w:rsidRPr="00A55A95" w:rsidRDefault="004673C1" w:rsidP="00A55A95">
      <w:pPr>
        <w:spacing w:after="0" w:line="480" w:lineRule="auto"/>
        <w:ind w:left="720" w:hanging="720"/>
        <w:rPr>
          <w:rFonts w:ascii="Times New Roman" w:hAnsi="Times New Roman" w:cs="Times New Roman"/>
          <w:sz w:val="24"/>
          <w:szCs w:val="24"/>
        </w:rPr>
      </w:pPr>
      <w:r w:rsidRPr="00A55A95">
        <w:rPr>
          <w:rFonts w:ascii="Times New Roman" w:hAnsi="Times New Roman" w:cs="Times New Roman"/>
          <w:color w:val="222222"/>
          <w:sz w:val="24"/>
          <w:szCs w:val="24"/>
          <w:shd w:val="clear" w:color="auto" w:fill="FFFFFF"/>
        </w:rPr>
        <w:t xml:space="preserve">Umhoefer, P. J. (2011). Why did the southern Gulf of California rupture so </w:t>
      </w:r>
      <w:proofErr w:type="gramStart"/>
      <w:r w:rsidRPr="00A55A95">
        <w:rPr>
          <w:rFonts w:ascii="Times New Roman" w:hAnsi="Times New Roman" w:cs="Times New Roman"/>
          <w:color w:val="222222"/>
          <w:sz w:val="24"/>
          <w:szCs w:val="24"/>
          <w:shd w:val="clear" w:color="auto" w:fill="FFFFFF"/>
        </w:rPr>
        <w:t>rapidly?—</w:t>
      </w:r>
      <w:proofErr w:type="gramEnd"/>
      <w:r w:rsidRPr="00A55A95">
        <w:rPr>
          <w:rFonts w:ascii="Times New Roman" w:hAnsi="Times New Roman" w:cs="Times New Roman"/>
          <w:color w:val="222222"/>
          <w:sz w:val="24"/>
          <w:szCs w:val="24"/>
          <w:shd w:val="clear" w:color="auto" w:fill="FFFFFF"/>
        </w:rPr>
        <w:t>Oblique divergence across hot, weak lithosphere along a tectonically active margin. </w:t>
      </w:r>
      <w:r w:rsidRPr="00A55A95">
        <w:rPr>
          <w:rFonts w:ascii="Times New Roman" w:hAnsi="Times New Roman" w:cs="Times New Roman"/>
          <w:i/>
          <w:iCs/>
          <w:color w:val="222222"/>
          <w:sz w:val="24"/>
          <w:szCs w:val="24"/>
          <w:shd w:val="clear" w:color="auto" w:fill="FFFFFF"/>
        </w:rPr>
        <w:t>GSA today</w:t>
      </w:r>
      <w:r w:rsidRPr="00A55A95">
        <w:rPr>
          <w:rFonts w:ascii="Times New Roman" w:hAnsi="Times New Roman" w:cs="Times New Roman"/>
          <w:color w:val="222222"/>
          <w:sz w:val="24"/>
          <w:szCs w:val="24"/>
          <w:shd w:val="clear" w:color="auto" w:fill="FFFFFF"/>
        </w:rPr>
        <w:t>, </w:t>
      </w:r>
      <w:r w:rsidRPr="00A55A95">
        <w:rPr>
          <w:rFonts w:ascii="Times New Roman" w:hAnsi="Times New Roman" w:cs="Times New Roman"/>
          <w:i/>
          <w:iCs/>
          <w:color w:val="222222"/>
          <w:sz w:val="24"/>
          <w:szCs w:val="24"/>
          <w:shd w:val="clear" w:color="auto" w:fill="FFFFFF"/>
        </w:rPr>
        <w:t>21</w:t>
      </w:r>
      <w:r w:rsidRPr="00A55A95">
        <w:rPr>
          <w:rFonts w:ascii="Times New Roman" w:hAnsi="Times New Roman" w:cs="Times New Roman"/>
          <w:color w:val="222222"/>
          <w:sz w:val="24"/>
          <w:szCs w:val="24"/>
          <w:shd w:val="clear" w:color="auto" w:fill="FFFFFF"/>
        </w:rPr>
        <w:t>(11), 4-10.</w:t>
      </w:r>
    </w:p>
    <w:p w14:paraId="19C4F923" w14:textId="77777777" w:rsidR="004673C1" w:rsidRPr="00A55A95" w:rsidRDefault="004673C1" w:rsidP="00A55A95">
      <w:pPr>
        <w:spacing w:after="0" w:line="480" w:lineRule="auto"/>
        <w:ind w:left="720" w:hanging="720"/>
        <w:rPr>
          <w:rFonts w:ascii="Times New Roman" w:hAnsi="Times New Roman" w:cs="Times New Roman"/>
          <w:sz w:val="24"/>
          <w:szCs w:val="24"/>
        </w:rPr>
      </w:pPr>
    </w:p>
    <w:sectPr w:rsidR="004673C1" w:rsidRPr="00A55A9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C589B" w14:textId="77777777" w:rsidR="00C2684C" w:rsidRDefault="00C2684C" w:rsidP="00A55A95">
      <w:pPr>
        <w:spacing w:after="0" w:line="240" w:lineRule="auto"/>
      </w:pPr>
      <w:r>
        <w:separator/>
      </w:r>
    </w:p>
  </w:endnote>
  <w:endnote w:type="continuationSeparator" w:id="0">
    <w:p w14:paraId="17B85CE5" w14:textId="77777777" w:rsidR="00C2684C" w:rsidRDefault="00C2684C" w:rsidP="00A55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2BB43" w14:textId="77777777" w:rsidR="00C2684C" w:rsidRDefault="00C2684C" w:rsidP="00A55A95">
      <w:pPr>
        <w:spacing w:after="0" w:line="240" w:lineRule="auto"/>
      </w:pPr>
      <w:r>
        <w:separator/>
      </w:r>
    </w:p>
  </w:footnote>
  <w:footnote w:type="continuationSeparator" w:id="0">
    <w:p w14:paraId="438F4FD2" w14:textId="77777777" w:rsidR="00C2684C" w:rsidRDefault="00C2684C" w:rsidP="00A55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AC417" w14:textId="00057489" w:rsidR="00A55A95" w:rsidRPr="00A55A95" w:rsidRDefault="00A55A95" w:rsidP="00A55A95">
    <w:pPr>
      <w:pStyle w:val="Header"/>
      <w:jc w:val="right"/>
      <w:rPr>
        <w:rFonts w:ascii="Times New Roman" w:hAnsi="Times New Roman" w:cs="Times New Roman"/>
        <w:sz w:val="24"/>
        <w:szCs w:val="24"/>
      </w:rPr>
    </w:pPr>
    <w:r w:rsidRPr="00A55A95">
      <w:rPr>
        <w:rFonts w:ascii="Times New Roman" w:hAnsi="Times New Roman" w:cs="Times New Roman"/>
        <w:sz w:val="24"/>
        <w:szCs w:val="24"/>
      </w:rPr>
      <w:fldChar w:fldCharType="begin"/>
    </w:r>
    <w:r w:rsidRPr="00A55A95">
      <w:rPr>
        <w:rFonts w:ascii="Times New Roman" w:hAnsi="Times New Roman" w:cs="Times New Roman"/>
        <w:sz w:val="24"/>
        <w:szCs w:val="24"/>
      </w:rPr>
      <w:instrText xml:space="preserve"> PAGE   \* MERGEFORMAT </w:instrText>
    </w:r>
    <w:r w:rsidRPr="00A55A95">
      <w:rPr>
        <w:rFonts w:ascii="Times New Roman" w:hAnsi="Times New Roman" w:cs="Times New Roman"/>
        <w:sz w:val="24"/>
        <w:szCs w:val="24"/>
      </w:rPr>
      <w:fldChar w:fldCharType="separate"/>
    </w:r>
    <w:r w:rsidRPr="00A55A95">
      <w:rPr>
        <w:rFonts w:ascii="Times New Roman" w:hAnsi="Times New Roman" w:cs="Times New Roman"/>
        <w:noProof/>
        <w:sz w:val="24"/>
        <w:szCs w:val="24"/>
      </w:rPr>
      <w:t>1</w:t>
    </w:r>
    <w:r w:rsidRPr="00A55A9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630"/>
    <w:rsid w:val="001544CE"/>
    <w:rsid w:val="002925C9"/>
    <w:rsid w:val="004673C1"/>
    <w:rsid w:val="00547242"/>
    <w:rsid w:val="00547630"/>
    <w:rsid w:val="00586267"/>
    <w:rsid w:val="006F72CF"/>
    <w:rsid w:val="00757FA6"/>
    <w:rsid w:val="00A1642F"/>
    <w:rsid w:val="00A55A95"/>
    <w:rsid w:val="00C2684C"/>
    <w:rsid w:val="00F04867"/>
    <w:rsid w:val="00F966D4"/>
    <w:rsid w:val="00FA3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44794"/>
  <w15:chartTrackingRefBased/>
  <w15:docId w15:val="{58B66C45-E10A-4F31-B853-AC0E2168D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A95"/>
  </w:style>
  <w:style w:type="paragraph" w:styleId="Footer">
    <w:name w:val="footer"/>
    <w:basedOn w:val="Normal"/>
    <w:link w:val="FooterChar"/>
    <w:uiPriority w:val="99"/>
    <w:unhideWhenUsed/>
    <w:rsid w:val="00A55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steve</cp:lastModifiedBy>
  <cp:revision>1</cp:revision>
  <dcterms:created xsi:type="dcterms:W3CDTF">2021-09-23T13:28:00Z</dcterms:created>
  <dcterms:modified xsi:type="dcterms:W3CDTF">2021-09-23T14:31:00Z</dcterms:modified>
</cp:coreProperties>
</file>